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ediumGrid1-Accent5"/>
        <w:tblpPr w:leftFromText="180" w:rightFromText="180" w:vertAnchor="page" w:horzAnchor="margin" w:tblpXSpec="center" w:tblpY="2295"/>
        <w:tblW w:w="10722" w:type="dxa"/>
        <w:tblLayout w:type="fixed"/>
        <w:tblLook w:val="04A0" w:firstRow="1" w:lastRow="0" w:firstColumn="1" w:lastColumn="0" w:noHBand="0" w:noVBand="1"/>
      </w:tblPr>
      <w:tblGrid>
        <w:gridCol w:w="675"/>
        <w:gridCol w:w="10047"/>
      </w:tblGrid>
      <w:tr w:rsidR="00FD627E" w:rsidRPr="00781CF5" w14:paraId="2622E570" w14:textId="77777777" w:rsidTr="00C82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2" w:type="dxa"/>
            <w:gridSpan w:val="2"/>
            <w:vAlign w:val="center"/>
          </w:tcPr>
          <w:p w14:paraId="06026D2C" w14:textId="77777777" w:rsidR="00FD627E" w:rsidRPr="00165349" w:rsidRDefault="00FD627E" w:rsidP="00F3026D">
            <w:pPr>
              <w:spacing w:line="360" w:lineRule="auto"/>
              <w:ind w:lef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548DD4" w:themeColor="text2" w:themeTint="99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2076D7" wp14:editId="0B7BED8D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-972820</wp:posOffset>
                      </wp:positionV>
                      <wp:extent cx="3618230" cy="627380"/>
                      <wp:effectExtent l="0" t="1270" r="254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8230" cy="627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54ECBA" w14:textId="45050440" w:rsidR="00FD627E" w:rsidRPr="000947F3" w:rsidRDefault="000947F3" w:rsidP="000947F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bookmarkStart w:id="0" w:name="_GoBack"/>
                                  <w:r w:rsidRPr="000947F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48"/>
                                      <w:szCs w:val="48"/>
                                      <w:lang w:bidi="fa-IR"/>
                                    </w:rPr>
                                    <w:t>Research projects</w:t>
                                  </w:r>
                                  <w:r w:rsidRPr="000947F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0947F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48"/>
                                      <w:szCs w:val="48"/>
                                      <w:lang w:bidi="fa-IR"/>
                                    </w:rPr>
                                    <w:t>2017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2076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12.55pt;margin-top:-76.6pt;width:284.9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" stroked="f">
                      <v:textbox>
                        <w:txbxContent>
                          <w:p w14:paraId="2C54ECBA" w14:textId="45050440" w:rsidR="00FD627E" w:rsidRPr="000947F3" w:rsidRDefault="000947F3" w:rsidP="000947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:lang w:bidi="fa-IR"/>
                              </w:rPr>
                            </w:pPr>
                            <w:bookmarkStart w:id="1" w:name="_GoBack"/>
                            <w:r w:rsidRPr="000947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:lang w:bidi="fa-IR"/>
                              </w:rPr>
                              <w:t>Research projects</w:t>
                            </w:r>
                            <w:r w:rsidRPr="000947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947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:lang w:bidi="fa-IR"/>
                              </w:rPr>
                              <w:t>2017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13D1">
              <w:rPr>
                <w:rFonts w:asciiTheme="majorBidi" w:hAnsiTheme="majorBidi" w:cstheme="majorBidi"/>
                <w:color w:val="548DD4" w:themeColor="text2" w:themeTint="99"/>
                <w:sz w:val="28"/>
                <w:szCs w:val="28"/>
              </w:rPr>
              <w:t>Bacteriology</w:t>
            </w:r>
          </w:p>
        </w:tc>
      </w:tr>
      <w:tr w:rsidR="003A6466" w:rsidRPr="00DA5257" w14:paraId="5779F48A" w14:textId="77777777" w:rsidTr="00B31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23C8B2DC" w14:textId="77777777" w:rsidR="003A6466" w:rsidRPr="00937995" w:rsidRDefault="003A6466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047" w:type="dxa"/>
          </w:tcPr>
          <w:p w14:paraId="65826C19" w14:textId="72E4C311" w:rsidR="003A6466" w:rsidRPr="00F47676" w:rsidRDefault="003A6466" w:rsidP="00F3026D">
            <w:pPr>
              <w:spacing w:line="360" w:lineRule="auto"/>
              <w:ind w:lef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F47676">
              <w:rPr>
                <w:rFonts w:asciiTheme="majorBidi" w:hAnsiTheme="majorBidi" w:cstheme="majorBidi"/>
                <w:b/>
                <w:bCs/>
                <w:lang w:bidi="fa-IR"/>
              </w:rPr>
              <w:t xml:space="preserve">The seven-year trend of antimicrobial resistance of Acinetobacter and Pseudomonas </w:t>
            </w:r>
            <w:proofErr w:type="spellStart"/>
            <w:r w:rsidRPr="00F47676">
              <w:rPr>
                <w:rFonts w:asciiTheme="majorBidi" w:hAnsiTheme="majorBidi" w:cstheme="majorBidi"/>
                <w:b/>
                <w:bCs/>
                <w:lang w:bidi="fa-IR"/>
              </w:rPr>
              <w:t>specles</w:t>
            </w:r>
            <w:proofErr w:type="spellEnd"/>
            <w:r w:rsidRPr="00F47676">
              <w:rPr>
                <w:rFonts w:asciiTheme="majorBidi" w:hAnsiTheme="majorBidi" w:cstheme="majorBidi"/>
                <w:b/>
                <w:bCs/>
                <w:lang w:bidi="fa-IR"/>
              </w:rPr>
              <w:t xml:space="preserve"> causing bloodstream infections: A retrospective study from Shiraz, southern Iran (from 2010 to 2016)</w:t>
            </w:r>
          </w:p>
        </w:tc>
      </w:tr>
      <w:tr w:rsidR="003A6466" w:rsidRPr="00DA5257" w14:paraId="3836F9DA" w14:textId="77777777" w:rsidTr="00B3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7CA73CD4" w14:textId="77777777" w:rsidR="003A6466" w:rsidRPr="00937995" w:rsidRDefault="003A6466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047" w:type="dxa"/>
          </w:tcPr>
          <w:p w14:paraId="36D58408" w14:textId="4D1C6134" w:rsidR="003A6466" w:rsidRPr="00F47676" w:rsidRDefault="003A6466" w:rsidP="00F3026D">
            <w:pPr>
              <w:bidi/>
              <w:spacing w:line="360" w:lineRule="auto"/>
              <w:ind w:lef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Titr"/>
                <w:sz w:val="24"/>
                <w:szCs w:val="24"/>
              </w:rPr>
            </w:pPr>
            <w:r w:rsidRPr="00F47676">
              <w:rPr>
                <w:rFonts w:asciiTheme="majorBidi" w:hAnsiTheme="majorBidi" w:cs="B Titr"/>
                <w:rtl/>
              </w:rPr>
              <w:t>بررسي اطلاعات دموگرافيك، باليني و عوامل خطر در بيماران مبتلا به عفونت جريان خون به علت استافیلوكوكوس آرئوس  مقاوم به متی سیلین بستري در بيمارستانهای نمازي و مسلمین شيراز از مهر ١٣٩٣ لغايت شهریور 1396</w:t>
            </w:r>
            <w:r w:rsidRPr="00F47676">
              <w:rPr>
                <w:rFonts w:asciiTheme="majorBidi" w:hAnsiTheme="majorBidi" w:cs="B Titr"/>
              </w:rPr>
              <w:t xml:space="preserve">    </w:t>
            </w:r>
          </w:p>
        </w:tc>
      </w:tr>
      <w:tr w:rsidR="003A6466" w:rsidRPr="00DA5257" w14:paraId="49D5A4AD" w14:textId="77777777" w:rsidTr="00B31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301BFCF5" w14:textId="77777777" w:rsidR="003A6466" w:rsidRPr="00937995" w:rsidRDefault="003A6466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047" w:type="dxa"/>
          </w:tcPr>
          <w:p w14:paraId="3CC417E6" w14:textId="54C9F5CF" w:rsidR="003A6466" w:rsidRPr="00F47676" w:rsidRDefault="003A6466" w:rsidP="00F3026D">
            <w:pPr>
              <w:spacing w:line="360" w:lineRule="auto"/>
              <w:ind w:lef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47676">
              <w:rPr>
                <w:rFonts w:asciiTheme="majorBidi" w:hAnsiTheme="majorBidi" w:cstheme="majorBidi"/>
                <w:b/>
                <w:bCs/>
                <w:lang w:bidi="fa-IR"/>
              </w:rPr>
              <w:t xml:space="preserve">Assess the diagnostic accuracy in the diagnosis of bacterial meningitis in children based on world health organization criteria cerebrospinal fluid PCR results in Namazi hospital in Persian date </w:t>
            </w:r>
            <w:proofErr w:type="spellStart"/>
            <w:r w:rsidRPr="00F47676">
              <w:rPr>
                <w:rFonts w:asciiTheme="majorBidi" w:hAnsiTheme="majorBidi" w:cstheme="majorBidi"/>
                <w:b/>
                <w:bCs/>
                <w:lang w:bidi="fa-IR"/>
              </w:rPr>
              <w:t>mehtill</w:t>
            </w:r>
            <w:proofErr w:type="spellEnd"/>
            <w:r w:rsidRPr="00F47676">
              <w:rPr>
                <w:rFonts w:asciiTheme="majorBidi" w:hAnsiTheme="majorBidi" w:cstheme="majorBidi"/>
                <w:b/>
                <w:bCs/>
                <w:lang w:bidi="fa-IR"/>
              </w:rPr>
              <w:t xml:space="preserve"> Persian date Shahrivar 96</w:t>
            </w:r>
          </w:p>
        </w:tc>
      </w:tr>
      <w:tr w:rsidR="003A6466" w:rsidRPr="00DA5257" w14:paraId="35933CB0" w14:textId="77777777" w:rsidTr="00B3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241B5DB0" w14:textId="77777777" w:rsidR="003A6466" w:rsidRPr="00937995" w:rsidRDefault="003A6466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047" w:type="dxa"/>
          </w:tcPr>
          <w:p w14:paraId="48E5DE70" w14:textId="62E7F1F2" w:rsidR="003A6466" w:rsidRPr="00F47676" w:rsidRDefault="003A6466" w:rsidP="00F302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47676">
              <w:rPr>
                <w:rFonts w:asciiTheme="majorBidi" w:hAnsiTheme="majorBidi" w:cstheme="majorBidi"/>
                <w:b/>
                <w:bCs/>
              </w:rPr>
              <w:t xml:space="preserve">Serotyping of Neisseria </w:t>
            </w:r>
            <w:proofErr w:type="spellStart"/>
            <w:proofErr w:type="gramStart"/>
            <w:r w:rsidRPr="00F47676">
              <w:rPr>
                <w:rFonts w:asciiTheme="majorBidi" w:hAnsiTheme="majorBidi" w:cstheme="majorBidi"/>
                <w:b/>
                <w:bCs/>
              </w:rPr>
              <w:t>meningitidis,Hemophilus</w:t>
            </w:r>
            <w:proofErr w:type="spellEnd"/>
            <w:proofErr w:type="gramEnd"/>
            <w:r w:rsidRPr="00F47676">
              <w:rPr>
                <w:rFonts w:asciiTheme="majorBidi" w:hAnsiTheme="majorBidi" w:cstheme="majorBidi"/>
                <w:b/>
                <w:bCs/>
              </w:rPr>
              <w:t xml:space="preserve"> influenzae and streptococcus pneumoniae CSF isolates in Iran. A multicenter prospective study.</w:t>
            </w:r>
          </w:p>
        </w:tc>
      </w:tr>
      <w:tr w:rsidR="00BC4AE4" w:rsidRPr="00DA5257" w14:paraId="04E29E47" w14:textId="77777777" w:rsidTr="00AC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6C8C0925" w14:textId="77777777" w:rsidR="00BC4AE4" w:rsidRDefault="00BC4AE4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047" w:type="dxa"/>
          </w:tcPr>
          <w:p w14:paraId="5347CF25" w14:textId="4A49F8A7" w:rsidR="00BC4AE4" w:rsidRPr="00F47676" w:rsidRDefault="00BC4AE4" w:rsidP="00F302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47676">
              <w:rPr>
                <w:rFonts w:asciiTheme="majorBidi" w:hAnsiTheme="majorBidi" w:cstheme="majorBidi"/>
                <w:b/>
                <w:bCs/>
              </w:rPr>
              <w:t xml:space="preserve">Investigation of antimicrobial effects of some Echinacea </w:t>
            </w:r>
            <w:proofErr w:type="spellStart"/>
            <w:r w:rsidRPr="00F47676">
              <w:rPr>
                <w:rFonts w:asciiTheme="majorBidi" w:hAnsiTheme="majorBidi" w:cstheme="majorBidi"/>
                <w:b/>
                <w:bCs/>
              </w:rPr>
              <w:t>purpurea</w:t>
            </w:r>
            <w:proofErr w:type="spellEnd"/>
            <w:r w:rsidRPr="00F47676">
              <w:rPr>
                <w:rFonts w:asciiTheme="majorBidi" w:hAnsiTheme="majorBidi" w:cstheme="majorBidi"/>
                <w:b/>
                <w:bCs/>
              </w:rPr>
              <w:t xml:space="preserve"> metabolites and identification of candidate miRNAs related to their biosynthesis</w:t>
            </w:r>
          </w:p>
        </w:tc>
      </w:tr>
      <w:tr w:rsidR="00BC4AE4" w:rsidRPr="00DA5257" w14:paraId="60C3853A" w14:textId="77777777" w:rsidTr="00320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04DEC97C" w14:textId="77777777" w:rsidR="00BC4AE4" w:rsidRDefault="00BC4AE4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047" w:type="dxa"/>
          </w:tcPr>
          <w:p w14:paraId="71E45CA8" w14:textId="244A8728" w:rsidR="00BC4AE4" w:rsidRPr="00F47676" w:rsidRDefault="00BC4AE4" w:rsidP="00F302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47676">
              <w:rPr>
                <w:rFonts w:asciiTheme="majorBidi" w:hAnsiTheme="majorBidi" w:cstheme="majorBidi"/>
                <w:b/>
                <w:bCs/>
              </w:rPr>
              <w:t>Evaluation of staphylococcus colonization n children and determining their antibiotic-resistance profiles</w:t>
            </w:r>
          </w:p>
        </w:tc>
      </w:tr>
      <w:tr w:rsidR="00BC4AE4" w:rsidRPr="00DA5257" w14:paraId="359273A2" w14:textId="77777777" w:rsidTr="00320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47DAE700" w14:textId="77777777" w:rsidR="00BC4AE4" w:rsidRDefault="00BC4AE4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0047" w:type="dxa"/>
          </w:tcPr>
          <w:p w14:paraId="33DCB82D" w14:textId="5A2FBCDB" w:rsidR="00BC4AE4" w:rsidRPr="00F47676" w:rsidRDefault="00BC4AE4" w:rsidP="00F302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47676">
              <w:rPr>
                <w:rFonts w:asciiTheme="majorBidi" w:hAnsiTheme="majorBidi" w:cstheme="majorBidi"/>
                <w:b/>
                <w:bCs/>
              </w:rPr>
              <w:t>Serotyping of Neisseria meningitidis, Hemophilus influenzae and streptococcus pneumoniae CSF isolates in Iran. A multicenter prospective surveillance study.</w:t>
            </w:r>
          </w:p>
        </w:tc>
      </w:tr>
      <w:tr w:rsidR="00BC4AE4" w:rsidRPr="00DA5257" w14:paraId="1B3AED56" w14:textId="77777777" w:rsidTr="00320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3A5A9C77" w14:textId="76DFFBC2" w:rsidR="00BC4AE4" w:rsidRDefault="00FF342C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0047" w:type="dxa"/>
          </w:tcPr>
          <w:p w14:paraId="41314BEF" w14:textId="45C1FBCD" w:rsidR="00BC4AE4" w:rsidRPr="00F47676" w:rsidRDefault="00FF342C" w:rsidP="00F302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47676">
              <w:rPr>
                <w:rFonts w:asciiTheme="majorBidi" w:hAnsiTheme="majorBidi" w:cstheme="majorBidi"/>
                <w:b/>
                <w:bCs/>
              </w:rPr>
              <w:t xml:space="preserve">Epidemiology of extended spectrum β-Lactamase, </w:t>
            </w:r>
            <w:proofErr w:type="spellStart"/>
            <w:r w:rsidRPr="00F47676">
              <w:rPr>
                <w:rFonts w:asciiTheme="majorBidi" w:hAnsiTheme="majorBidi" w:cstheme="majorBidi"/>
                <w:b/>
                <w:bCs/>
              </w:rPr>
              <w:t>AmpC</w:t>
            </w:r>
            <w:proofErr w:type="spellEnd"/>
            <w:r w:rsidRPr="00F47676">
              <w:rPr>
                <w:rFonts w:asciiTheme="majorBidi" w:hAnsiTheme="majorBidi" w:cstheme="majorBidi"/>
                <w:b/>
                <w:bCs/>
              </w:rPr>
              <w:t xml:space="preserve">, integrin class I and integrin-associated genes among enteric bacterial pathogens and surveillance study on enteric viruses and parasites in drinking water, raw food (vegetable and </w:t>
            </w:r>
            <w:proofErr w:type="gramStart"/>
            <w:r w:rsidRPr="00F47676">
              <w:rPr>
                <w:rFonts w:asciiTheme="majorBidi" w:hAnsiTheme="majorBidi" w:cstheme="majorBidi"/>
                <w:b/>
                <w:bCs/>
              </w:rPr>
              <w:t>meat  )</w:t>
            </w:r>
            <w:proofErr w:type="gramEnd"/>
            <w:r w:rsidRPr="00F47676">
              <w:rPr>
                <w:rFonts w:asciiTheme="majorBidi" w:hAnsiTheme="majorBidi" w:cstheme="majorBidi"/>
                <w:b/>
                <w:bCs/>
              </w:rPr>
              <w:t xml:space="preserve"> and human stool samples: An integrated surveillance study in Iran, 2016-2017</w:t>
            </w:r>
          </w:p>
        </w:tc>
      </w:tr>
      <w:tr w:rsidR="00BC4AE4" w:rsidRPr="00DA5257" w14:paraId="77191987" w14:textId="77777777" w:rsidTr="00C82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2" w:type="dxa"/>
            <w:gridSpan w:val="2"/>
            <w:vAlign w:val="center"/>
          </w:tcPr>
          <w:p w14:paraId="4E6AED29" w14:textId="77777777" w:rsidR="00BC4AE4" w:rsidRPr="00DA5257" w:rsidRDefault="00BC4AE4" w:rsidP="00F302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F13D1">
              <w:rPr>
                <w:rFonts w:asciiTheme="majorBidi" w:hAnsiTheme="majorBidi" w:cstheme="majorBidi"/>
                <w:color w:val="548DD4" w:themeColor="text2" w:themeTint="99"/>
                <w:sz w:val="28"/>
                <w:szCs w:val="28"/>
              </w:rPr>
              <w:t>Virology</w:t>
            </w:r>
          </w:p>
        </w:tc>
      </w:tr>
      <w:tr w:rsidR="00BC4AE4" w:rsidRPr="00DA5257" w14:paraId="7356D6E0" w14:textId="77777777" w:rsidTr="00C827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18F555DE" w14:textId="77777777" w:rsidR="00BC4AE4" w:rsidRPr="00937995" w:rsidRDefault="00BC4AE4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047" w:type="dxa"/>
            <w:vAlign w:val="center"/>
          </w:tcPr>
          <w:p w14:paraId="16EBE903" w14:textId="53417325" w:rsidR="00BC4AE4" w:rsidRPr="00FB34E4" w:rsidRDefault="00893E2B" w:rsidP="00F3026D">
            <w:pPr>
              <w:spacing w:line="360" w:lineRule="auto"/>
              <w:ind w:lef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E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Detection of </w:t>
            </w:r>
            <w:proofErr w:type="spellStart"/>
            <w:r w:rsidRPr="00893E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mucorales</w:t>
            </w:r>
            <w:proofErr w:type="spellEnd"/>
            <w:r w:rsidRPr="00893E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DNA in clinical samples of Immunocompromised patients</w:t>
            </w:r>
          </w:p>
        </w:tc>
      </w:tr>
      <w:tr w:rsidR="00BC4AE4" w:rsidRPr="00DA5257" w14:paraId="6C71ABEB" w14:textId="77777777" w:rsidTr="00C82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657E57D1" w14:textId="77777777" w:rsidR="00BC4AE4" w:rsidRDefault="00BC4AE4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047" w:type="dxa"/>
            <w:vAlign w:val="center"/>
          </w:tcPr>
          <w:p w14:paraId="3AFBE44A" w14:textId="0C0827CE" w:rsidR="00BC4AE4" w:rsidRPr="00203ECB" w:rsidRDefault="00893E2B" w:rsidP="00F3026D">
            <w:pPr>
              <w:bidi/>
              <w:spacing w:line="360" w:lineRule="auto"/>
              <w:ind w:lef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sz w:val="24"/>
                <w:szCs w:val="24"/>
              </w:rPr>
            </w:pP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>بررس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م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 w:hint="eastAsia"/>
                <w:sz w:val="24"/>
                <w:szCs w:val="24"/>
                <w:rtl/>
              </w:rPr>
              <w:t>زان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بروز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</w:rPr>
              <w:t xml:space="preserve"> HLH 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>در کودکان مبتلا به ب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 w:hint="eastAsia"/>
                <w:sz w:val="24"/>
                <w:szCs w:val="24"/>
                <w:rtl/>
              </w:rPr>
              <w:t>مار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 w:hint="eastAsia"/>
                <w:sz w:val="24"/>
                <w:szCs w:val="24"/>
                <w:rtl/>
              </w:rPr>
              <w:t>ها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عفون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</w:p>
        </w:tc>
      </w:tr>
      <w:tr w:rsidR="00BC4AE4" w:rsidRPr="00DA5257" w14:paraId="62E8C7F7" w14:textId="77777777" w:rsidTr="00C827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5FDD49AF" w14:textId="77777777" w:rsidR="00BC4AE4" w:rsidRDefault="00BC4AE4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047" w:type="dxa"/>
            <w:vAlign w:val="center"/>
          </w:tcPr>
          <w:p w14:paraId="4760AD65" w14:textId="61B32771" w:rsidR="00BC4AE4" w:rsidRPr="00203ECB" w:rsidRDefault="00893E2B" w:rsidP="00F3026D">
            <w:pPr>
              <w:bidi/>
              <w:spacing w:line="360" w:lineRule="auto"/>
              <w:ind w:lef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sz w:val="24"/>
                <w:szCs w:val="24"/>
              </w:rPr>
            </w:pP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>بررس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پروفا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 w:hint="eastAsia"/>
                <w:sz w:val="24"/>
                <w:szCs w:val="24"/>
                <w:rtl/>
              </w:rPr>
              <w:t>ل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س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 w:hint="eastAsia"/>
                <w:sz w:val="24"/>
                <w:szCs w:val="24"/>
                <w:rtl/>
              </w:rPr>
              <w:t>توکا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 w:hint="eastAsia"/>
                <w:sz w:val="24"/>
                <w:szCs w:val="24"/>
                <w:rtl/>
              </w:rPr>
              <w:t>ن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ها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التهاب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در کودکان مبتلا به لوکم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قبل از شروع کموتراپ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و ارز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 w:hint="eastAsia"/>
                <w:sz w:val="24"/>
                <w:szCs w:val="24"/>
                <w:rtl/>
              </w:rPr>
              <w:t>اب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تغ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یی</w:t>
            </w:r>
            <w:r w:rsidRPr="00203ECB">
              <w:rPr>
                <w:rFonts w:ascii="Times New Roman" w:eastAsia="Times New Roman" w:hAnsi="Times New Roman" w:cs="B Titr" w:hint="eastAsia"/>
                <w:sz w:val="24"/>
                <w:szCs w:val="24"/>
                <w:rtl/>
              </w:rPr>
              <w:t>ر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الگو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آن در زمان ابتلا به عفونت ها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قارچ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و باکتر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 w:hint="eastAsia"/>
                <w:sz w:val="24"/>
                <w:szCs w:val="24"/>
                <w:rtl/>
              </w:rPr>
              <w:t>ال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در ط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کموتراپ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در ب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 w:hint="eastAsia"/>
                <w:sz w:val="24"/>
                <w:szCs w:val="24"/>
                <w:rtl/>
              </w:rPr>
              <w:t>مارستان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آنکولوژ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ام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 w:hint="eastAsia"/>
                <w:sz w:val="24"/>
                <w:szCs w:val="24"/>
                <w:rtl/>
              </w:rPr>
              <w:t>ر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در مقا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 w:hint="eastAsia"/>
                <w:sz w:val="24"/>
                <w:szCs w:val="24"/>
                <w:rtl/>
              </w:rPr>
              <w:t>سه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با کودکان سالم و کودکان مبتلا به لوکم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بدون عفونت قارچ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 و باکتر</w:t>
            </w:r>
            <w:r w:rsidRPr="00203ECB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ی</w:t>
            </w:r>
            <w:r w:rsidRPr="00203ECB">
              <w:rPr>
                <w:rFonts w:ascii="Times New Roman" w:eastAsia="Times New Roman" w:hAnsi="Times New Roman" w:cs="B Titr" w:hint="eastAsia"/>
                <w:sz w:val="24"/>
                <w:szCs w:val="24"/>
                <w:rtl/>
              </w:rPr>
              <w:t>ال</w:t>
            </w:r>
          </w:p>
        </w:tc>
      </w:tr>
      <w:tr w:rsidR="00BC4AE4" w:rsidRPr="00DA5257" w14:paraId="64F8BE71" w14:textId="77777777" w:rsidTr="00C82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2" w:type="dxa"/>
            <w:gridSpan w:val="2"/>
            <w:vAlign w:val="center"/>
          </w:tcPr>
          <w:p w14:paraId="174C4B7D" w14:textId="77777777" w:rsidR="00BC4AE4" w:rsidRPr="00DA5257" w:rsidRDefault="00BC4AE4" w:rsidP="00F3026D">
            <w:pPr>
              <w:spacing w:line="360" w:lineRule="auto"/>
              <w:ind w:left="49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548DD4" w:themeColor="text2" w:themeTint="99"/>
                <w:sz w:val="28"/>
                <w:szCs w:val="28"/>
              </w:rPr>
              <w:t>Immonology</w:t>
            </w:r>
            <w:proofErr w:type="spellEnd"/>
          </w:p>
        </w:tc>
      </w:tr>
      <w:tr w:rsidR="00641E69" w:rsidRPr="00DA5257" w14:paraId="65DC35D8" w14:textId="77777777" w:rsidTr="00FC1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35AEF28E" w14:textId="77777777" w:rsidR="00641E69" w:rsidRPr="00937995" w:rsidRDefault="00641E69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047" w:type="dxa"/>
          </w:tcPr>
          <w:p w14:paraId="139C14F2" w14:textId="6A32A562" w:rsidR="00641E69" w:rsidRPr="00CF7F45" w:rsidRDefault="00641E69" w:rsidP="00F3026D">
            <w:pPr>
              <w:spacing w:line="360" w:lineRule="auto"/>
              <w:ind w:lef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F45">
              <w:rPr>
                <w:rFonts w:asciiTheme="majorBidi" w:hAnsiTheme="majorBidi" w:cstheme="majorBidi"/>
                <w:b/>
                <w:bCs/>
              </w:rPr>
              <w:t>Determining the reference value of peripheral blood mononuclear cells subpopulations and antibody subclasses among healthy children</w:t>
            </w:r>
          </w:p>
        </w:tc>
      </w:tr>
      <w:tr w:rsidR="00641E69" w:rsidRPr="00DA5257" w14:paraId="113D558D" w14:textId="77777777" w:rsidTr="00FC1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4C0A8692" w14:textId="77777777" w:rsidR="00641E69" w:rsidRDefault="00641E69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</w:t>
            </w:r>
          </w:p>
        </w:tc>
        <w:tc>
          <w:tcPr>
            <w:tcW w:w="10047" w:type="dxa"/>
          </w:tcPr>
          <w:p w14:paraId="4AD9667B" w14:textId="33FF9BDC" w:rsidR="00641E69" w:rsidRPr="00CF7F45" w:rsidRDefault="00641E69" w:rsidP="00F3026D">
            <w:pPr>
              <w:spacing w:line="360" w:lineRule="auto"/>
              <w:ind w:lef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F45">
              <w:rPr>
                <w:rFonts w:asciiTheme="majorBidi" w:hAnsiTheme="majorBidi" w:cstheme="majorBidi"/>
                <w:b/>
                <w:bCs/>
              </w:rPr>
              <w:t>Investigation of cytokines and inflammatory biomarkers in children with leukemia during different phases of chemotherapy in Amir oncology hospital</w:t>
            </w:r>
          </w:p>
        </w:tc>
      </w:tr>
      <w:tr w:rsidR="00641E69" w:rsidRPr="00DA5257" w14:paraId="058A8996" w14:textId="77777777" w:rsidTr="00FC1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7907C608" w14:textId="77777777" w:rsidR="00641E69" w:rsidRDefault="00641E69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047" w:type="dxa"/>
          </w:tcPr>
          <w:p w14:paraId="3A450982" w14:textId="700B190A" w:rsidR="00641E69" w:rsidRPr="00CF7F45" w:rsidRDefault="00641E69" w:rsidP="00F3026D">
            <w:pPr>
              <w:bidi/>
              <w:spacing w:line="360" w:lineRule="auto"/>
              <w:ind w:lef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</w:rPr>
            </w:pPr>
            <w:r w:rsidRPr="00CF7F45">
              <w:rPr>
                <w:rFonts w:cs="B Titr" w:hint="cs"/>
                <w:rtl/>
              </w:rPr>
              <w:t xml:space="preserve">بررسی بیان </w:t>
            </w:r>
            <w:r w:rsidRPr="00CF7F45">
              <w:rPr>
                <w:rFonts w:cs="B Titr"/>
              </w:rPr>
              <w:t xml:space="preserve">IncRNA-cox2 </w:t>
            </w:r>
            <w:r w:rsidRPr="00CF7F45">
              <w:rPr>
                <w:rFonts w:cs="B Titr" w:hint="cs"/>
                <w:rtl/>
              </w:rPr>
              <w:t xml:space="preserve"> و </w:t>
            </w:r>
            <w:r w:rsidRPr="00CF7F45">
              <w:rPr>
                <w:rFonts w:cs="B Titr"/>
              </w:rPr>
              <w:t>IncRNA-00305</w:t>
            </w:r>
            <w:r w:rsidRPr="00CF7F45">
              <w:rPr>
                <w:rFonts w:cs="B Titr" w:hint="cs"/>
                <w:rtl/>
              </w:rPr>
              <w:t xml:space="preserve">و ارتباط آنها با میزان ترشح سیتوکینهای </w:t>
            </w:r>
            <w:r w:rsidRPr="00CF7F45">
              <w:rPr>
                <w:rFonts w:cs="B Titr"/>
              </w:rPr>
              <w:t xml:space="preserve"> IL-6T IL10, TNF-α</w:t>
            </w:r>
            <w:r w:rsidRPr="00CF7F45">
              <w:rPr>
                <w:rFonts w:cs="B Titr" w:hint="cs"/>
                <w:rtl/>
              </w:rPr>
              <w:t xml:space="preserve"> توسط</w:t>
            </w:r>
            <w:r w:rsidRPr="00CF7F45">
              <w:rPr>
                <w:rFonts w:cs="B Titr"/>
              </w:rPr>
              <w:t>PBMC</w:t>
            </w:r>
            <w:r w:rsidRPr="00CF7F45">
              <w:rPr>
                <w:rFonts w:cs="B Titr" w:hint="cs"/>
                <w:rtl/>
              </w:rPr>
              <w:t xml:space="preserve"> باکتریایی و ارتباط آنها با فاکتورهای بیوشیمیایی سرم در افراد مبتلا به بیماری عروق کرونر در مقایسه با افراد سالم</w:t>
            </w:r>
          </w:p>
        </w:tc>
      </w:tr>
      <w:tr w:rsidR="00641E69" w:rsidRPr="00DA5257" w14:paraId="2CAD9953" w14:textId="77777777" w:rsidTr="00FC1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2ECCEC4D" w14:textId="77777777" w:rsidR="00641E69" w:rsidRDefault="00641E69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047" w:type="dxa"/>
          </w:tcPr>
          <w:p w14:paraId="06921148" w14:textId="74CC97D4" w:rsidR="00641E69" w:rsidRPr="00CF7F45" w:rsidRDefault="00641E69" w:rsidP="00F3026D">
            <w:pPr>
              <w:spacing w:line="360" w:lineRule="auto"/>
              <w:ind w:lef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F45">
              <w:rPr>
                <w:rFonts w:asciiTheme="majorBidi" w:hAnsiTheme="majorBidi" w:cstheme="majorBidi"/>
                <w:b/>
                <w:bCs/>
                <w:lang w:bidi="fa-IR"/>
              </w:rPr>
              <w:t>Clinical evaluation of cytokines level in differential diagnosis of bacterial meningitis in children admitted to Namazi hospital Shiraz, with probable diagnosis of bacterial meningitis from 2014-2017</w:t>
            </w:r>
          </w:p>
        </w:tc>
      </w:tr>
      <w:tr w:rsidR="00641E69" w:rsidRPr="00DA5257" w14:paraId="2489C1ED" w14:textId="77777777" w:rsidTr="00FC1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1ADFD866" w14:textId="77777777" w:rsidR="00641E69" w:rsidRDefault="00641E69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047" w:type="dxa"/>
          </w:tcPr>
          <w:p w14:paraId="187D9354" w14:textId="67E9A250" w:rsidR="00641E69" w:rsidRPr="00CF7F45" w:rsidRDefault="00641E69" w:rsidP="00F3026D">
            <w:pPr>
              <w:spacing w:line="360" w:lineRule="auto"/>
              <w:ind w:lef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F45">
              <w:rPr>
                <w:rFonts w:asciiTheme="majorBidi" w:hAnsiTheme="majorBidi" w:cstheme="majorBidi"/>
                <w:b/>
                <w:bCs/>
              </w:rPr>
              <w:t xml:space="preserve">Immunological and pathological evaluation of lesions induced by </w:t>
            </w:r>
            <w:proofErr w:type="spellStart"/>
            <w:r w:rsidRPr="00CF7F45">
              <w:rPr>
                <w:rFonts w:asciiTheme="majorBidi" w:hAnsiTheme="majorBidi" w:cstheme="majorBidi"/>
                <w:b/>
                <w:bCs/>
              </w:rPr>
              <w:t>coinjection</w:t>
            </w:r>
            <w:proofErr w:type="spellEnd"/>
            <w:r w:rsidRPr="00CF7F45">
              <w:rPr>
                <w:rFonts w:asciiTheme="majorBidi" w:hAnsiTheme="majorBidi" w:cstheme="majorBidi"/>
                <w:b/>
                <w:bCs/>
              </w:rPr>
              <w:t xml:space="preserve"> of leishmania major and TLR4 agonist in BALB/c mice</w:t>
            </w:r>
          </w:p>
        </w:tc>
      </w:tr>
      <w:tr w:rsidR="00BC4AE4" w:rsidRPr="00DA5257" w14:paraId="51DCEE63" w14:textId="77777777" w:rsidTr="00C82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53E174B7" w14:textId="77777777" w:rsidR="00BC4AE4" w:rsidRDefault="00BC4AE4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047" w:type="dxa"/>
            <w:vAlign w:val="center"/>
          </w:tcPr>
          <w:p w14:paraId="0B478599" w14:textId="4196BDEB" w:rsidR="00BC4AE4" w:rsidRDefault="006A322E" w:rsidP="00F3026D">
            <w:pPr>
              <w:bidi/>
              <w:spacing w:line="360" w:lineRule="auto"/>
              <w:ind w:lef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 evaluate effectiveness of </w:t>
            </w:r>
            <w:proofErr w:type="spellStart"/>
            <w:r w:rsidRPr="006A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tanacetum</w:t>
            </w:r>
            <w:proofErr w:type="spellEnd"/>
            <w:r w:rsidRPr="006A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parthenium (L) Sch. consumption on blood inflammatory and coagulating indexes</w:t>
            </w:r>
          </w:p>
        </w:tc>
      </w:tr>
      <w:tr w:rsidR="003833C1" w:rsidRPr="00DA5257" w14:paraId="215B53F6" w14:textId="77777777" w:rsidTr="00A92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23B22176" w14:textId="77777777" w:rsidR="003833C1" w:rsidRDefault="003833C1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0047" w:type="dxa"/>
          </w:tcPr>
          <w:p w14:paraId="03BA6903" w14:textId="098110A1" w:rsidR="003833C1" w:rsidRPr="00CF7F45" w:rsidRDefault="003833C1" w:rsidP="00F3026D">
            <w:pPr>
              <w:spacing w:line="360" w:lineRule="auto"/>
              <w:ind w:lef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F45">
              <w:rPr>
                <w:rFonts w:asciiTheme="majorBidi" w:hAnsiTheme="majorBidi" w:cstheme="majorBidi"/>
                <w:b/>
                <w:bCs/>
              </w:rPr>
              <w:t>The effect of selenium consumption on Th1/Th2/Th17 frequency in patients with non- Hodgkin lymphoma and its correlation with disease progression</w:t>
            </w:r>
          </w:p>
        </w:tc>
      </w:tr>
      <w:tr w:rsidR="003833C1" w:rsidRPr="00DA5257" w14:paraId="55E51424" w14:textId="77777777" w:rsidTr="00A9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47B0BCDD" w14:textId="77777777" w:rsidR="003833C1" w:rsidRDefault="003833C1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0047" w:type="dxa"/>
          </w:tcPr>
          <w:p w14:paraId="624A4279" w14:textId="3767A610" w:rsidR="003833C1" w:rsidRPr="00CF7F45" w:rsidRDefault="003833C1" w:rsidP="00F3026D">
            <w:pPr>
              <w:spacing w:line="360" w:lineRule="auto"/>
              <w:ind w:lef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F45">
              <w:rPr>
                <w:rFonts w:asciiTheme="majorBidi" w:hAnsiTheme="majorBidi" w:cstheme="majorBidi"/>
                <w:b/>
                <w:bCs/>
              </w:rPr>
              <w:t>The frequency of CD4+CD25+FOXP3+requlatoty T cells (</w:t>
            </w:r>
            <w:proofErr w:type="spellStart"/>
            <w:r w:rsidRPr="00CF7F45">
              <w:rPr>
                <w:rFonts w:asciiTheme="majorBidi" w:hAnsiTheme="majorBidi" w:cstheme="majorBidi"/>
                <w:b/>
                <w:bCs/>
              </w:rPr>
              <w:t>Tregs</w:t>
            </w:r>
            <w:proofErr w:type="spellEnd"/>
            <w:r w:rsidRPr="00CF7F45">
              <w:rPr>
                <w:rFonts w:asciiTheme="majorBidi" w:hAnsiTheme="majorBidi" w:cstheme="majorBidi"/>
                <w:b/>
                <w:bCs/>
              </w:rPr>
              <w:t>) in patients with Hodgkin lymphoma (HL) and its correlation with disease progression</w:t>
            </w:r>
          </w:p>
        </w:tc>
      </w:tr>
      <w:tr w:rsidR="003833C1" w:rsidRPr="00DA5257" w14:paraId="428C4AB5" w14:textId="77777777" w:rsidTr="00A92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50429067" w14:textId="77777777" w:rsidR="003833C1" w:rsidRDefault="003833C1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0047" w:type="dxa"/>
          </w:tcPr>
          <w:p w14:paraId="24AAABC4" w14:textId="1E5A88C9" w:rsidR="003833C1" w:rsidRPr="00CF7F45" w:rsidRDefault="003833C1" w:rsidP="00F3026D">
            <w:pPr>
              <w:spacing w:line="360" w:lineRule="auto"/>
              <w:ind w:lef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F45">
              <w:rPr>
                <w:rFonts w:asciiTheme="majorBidi" w:hAnsiTheme="majorBidi" w:cstheme="majorBidi"/>
                <w:b/>
                <w:bCs/>
              </w:rPr>
              <w:t xml:space="preserve">Investigation the prevalence (incidence) of hemophagocytic </w:t>
            </w:r>
            <w:proofErr w:type="spellStart"/>
            <w:r w:rsidRPr="00CF7F45">
              <w:rPr>
                <w:rFonts w:asciiTheme="majorBidi" w:hAnsiTheme="majorBidi" w:cstheme="majorBidi"/>
                <w:b/>
                <w:bCs/>
              </w:rPr>
              <w:t>lymphohistiocytosis</w:t>
            </w:r>
            <w:proofErr w:type="spellEnd"/>
            <w:r w:rsidRPr="00CF7F45">
              <w:rPr>
                <w:rFonts w:asciiTheme="majorBidi" w:hAnsiTheme="majorBidi" w:cstheme="majorBidi"/>
                <w:b/>
                <w:bCs/>
              </w:rPr>
              <w:t xml:space="preserve"> in children infected with parasitic, bacterial, fungal and viral agents during three years</w:t>
            </w:r>
          </w:p>
        </w:tc>
      </w:tr>
      <w:tr w:rsidR="00BC4AE4" w:rsidRPr="00DA5257" w14:paraId="6D452BF8" w14:textId="77777777" w:rsidTr="00C82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2" w:type="dxa"/>
            <w:gridSpan w:val="2"/>
            <w:vAlign w:val="center"/>
          </w:tcPr>
          <w:p w14:paraId="1B1AC6B1" w14:textId="77777777" w:rsidR="00BC4AE4" w:rsidRPr="00734D7E" w:rsidRDefault="00BC4AE4" w:rsidP="00F3026D">
            <w:pPr>
              <w:spacing w:line="360" w:lineRule="auto"/>
              <w:ind w:lef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D7E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</w:rPr>
              <w:t>Mycology</w:t>
            </w:r>
          </w:p>
        </w:tc>
      </w:tr>
      <w:tr w:rsidR="00BC4AE4" w:rsidRPr="00DA5257" w14:paraId="5556C595" w14:textId="77777777" w:rsidTr="00C827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11B4C7BA" w14:textId="77777777" w:rsidR="00BC4AE4" w:rsidRDefault="00BC4AE4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047" w:type="dxa"/>
            <w:vAlign w:val="center"/>
          </w:tcPr>
          <w:p w14:paraId="5F5EDD25" w14:textId="1917C443" w:rsidR="00BC4AE4" w:rsidRPr="00CF7F45" w:rsidRDefault="005A60D8" w:rsidP="00F3026D">
            <w:pPr>
              <w:spacing w:line="360" w:lineRule="auto"/>
              <w:ind w:lef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F45">
              <w:rPr>
                <w:rFonts w:asciiTheme="majorBidi" w:hAnsiTheme="majorBidi" w:cstheme="majorBidi"/>
                <w:b/>
                <w:bCs/>
              </w:rPr>
              <w:t xml:space="preserve">Determination of azole antifungal plasma level by bioassay method and its correlation with different CYP2C19, CYP2CP and CYP3A4, CYP3A5 genotypes by Real </w:t>
            </w:r>
            <w:r w:rsidRPr="00CF7F45">
              <w:rPr>
                <w:rFonts w:asciiTheme="majorBidi" w:hAnsiTheme="majorBidi" w:cstheme="majorBidi"/>
                <w:b/>
                <w:bCs/>
              </w:rPr>
              <w:br/>
              <w:t xml:space="preserve">Time PCR in patients with hematologic </w:t>
            </w:r>
            <w:proofErr w:type="spellStart"/>
            <w:r w:rsidRPr="00CF7F45">
              <w:rPr>
                <w:rFonts w:asciiTheme="majorBidi" w:hAnsiTheme="majorBidi" w:cstheme="majorBidi"/>
                <w:b/>
                <w:bCs/>
              </w:rPr>
              <w:t>disrders</w:t>
            </w:r>
            <w:proofErr w:type="spellEnd"/>
          </w:p>
        </w:tc>
      </w:tr>
      <w:tr w:rsidR="00BC4AE4" w:rsidRPr="00DA5257" w14:paraId="40145211" w14:textId="77777777" w:rsidTr="00C82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7CE6C99B" w14:textId="77777777" w:rsidR="00BC4AE4" w:rsidRDefault="00BC4AE4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047" w:type="dxa"/>
            <w:vAlign w:val="center"/>
          </w:tcPr>
          <w:p w14:paraId="3CD12F67" w14:textId="2366E7D2" w:rsidR="00BC4AE4" w:rsidRPr="00CF7F45" w:rsidRDefault="005A60D8" w:rsidP="00F3026D">
            <w:pPr>
              <w:spacing w:line="360" w:lineRule="auto"/>
              <w:ind w:lef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</w:rPr>
            </w:pPr>
            <w:r w:rsidRPr="00CF7F45">
              <w:rPr>
                <w:rFonts w:cs="B Titr" w:hint="cs"/>
                <w:rtl/>
                <w:lang w:val="en-BZ"/>
              </w:rPr>
              <w:t xml:space="preserve">تعیین اپیدمیولوژی ژنوتیپ های </w:t>
            </w:r>
            <w:r w:rsidRPr="00CF7F45">
              <w:rPr>
                <w:rFonts w:cs="B Titr"/>
              </w:rPr>
              <w:t>CYP2C19-3,CYP2C19-2</w:t>
            </w:r>
            <w:r w:rsidRPr="00CF7F45">
              <w:rPr>
                <w:rFonts w:cs="B Titr"/>
                <w:lang w:val="en-BZ"/>
              </w:rPr>
              <w:t xml:space="preserve">  </w:t>
            </w:r>
            <w:r w:rsidRPr="00CF7F45">
              <w:rPr>
                <w:rFonts w:cs="B Titr" w:hint="cs"/>
                <w:rtl/>
                <w:lang w:val="en-BZ"/>
              </w:rPr>
              <w:t xml:space="preserve"> و </w:t>
            </w:r>
            <w:r w:rsidRPr="00CF7F45">
              <w:rPr>
                <w:rFonts w:cs="B Titr"/>
              </w:rPr>
              <w:t>CYP2C19-17</w:t>
            </w:r>
            <w:r w:rsidRPr="00CF7F45">
              <w:rPr>
                <w:rFonts w:cs="B Titr" w:hint="cs"/>
                <w:rtl/>
                <w:lang w:val="en-BZ"/>
              </w:rPr>
              <w:t xml:space="preserve"> در کودکان مبتلا به لوکمی و لنفوم در بیمارستان آنکولوژی امیر و بررسی میزان پاسخ به درمان و عاقبت بالینی عفونت های مهاجم آسپرژیلوزیسی در فنوتیپ های مختلف متابولیزه کننده داروی وریکونازول</w:t>
            </w:r>
          </w:p>
        </w:tc>
      </w:tr>
      <w:tr w:rsidR="00267A06" w:rsidRPr="00DA5257" w14:paraId="1D15A768" w14:textId="77777777" w:rsidTr="00C827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19613F19" w14:textId="12BAB6F0" w:rsidR="00267A06" w:rsidRDefault="00267A06" w:rsidP="00F302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047" w:type="dxa"/>
            <w:vAlign w:val="center"/>
          </w:tcPr>
          <w:p w14:paraId="42BE642B" w14:textId="62C3F5D4" w:rsidR="00267A06" w:rsidRPr="00CF7F45" w:rsidRDefault="00267A06" w:rsidP="00F3026D">
            <w:pPr>
              <w:spacing w:line="360" w:lineRule="auto"/>
              <w:ind w:lef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val="en-BZ"/>
              </w:rPr>
            </w:pPr>
            <w:r w:rsidRPr="00CF7F45">
              <w:rPr>
                <w:rFonts w:asciiTheme="majorBidi" w:hAnsiTheme="majorBidi" w:cstheme="majorBidi"/>
                <w:b/>
                <w:bCs/>
              </w:rPr>
              <w:t>The study of antifungal effect of methanolic and n-hexane extracts of sesame seed on oral candidiasis in liver and renal transplant recipients in comparison with nystatin</w:t>
            </w:r>
          </w:p>
        </w:tc>
      </w:tr>
    </w:tbl>
    <w:p w14:paraId="630090A6" w14:textId="77777777" w:rsidR="00FD627E" w:rsidRPr="00165349" w:rsidRDefault="00FD627E" w:rsidP="00FD627E">
      <w:pPr>
        <w:bidi/>
        <w:jc w:val="center"/>
        <w:rPr>
          <w:rFonts w:cs="B Titr"/>
          <w:sz w:val="56"/>
          <w:szCs w:val="56"/>
          <w:lang w:bidi="fa-IR"/>
        </w:rPr>
      </w:pPr>
    </w:p>
    <w:p w14:paraId="2C7C418E" w14:textId="77777777" w:rsidR="00FD627E" w:rsidRDefault="00FD627E" w:rsidP="00FD627E">
      <w:pPr>
        <w:rPr>
          <w:rtl/>
        </w:rPr>
      </w:pPr>
    </w:p>
    <w:p w14:paraId="35EBB8E2" w14:textId="77777777" w:rsidR="004E5DFC" w:rsidRDefault="004E5DFC"/>
    <w:sectPr w:rsidR="004E5DFC" w:rsidSect="007C4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7E"/>
    <w:rsid w:val="000947F3"/>
    <w:rsid w:val="000E0A28"/>
    <w:rsid w:val="001076B1"/>
    <w:rsid w:val="00161A08"/>
    <w:rsid w:val="00203ECB"/>
    <w:rsid w:val="00267A06"/>
    <w:rsid w:val="002D77F3"/>
    <w:rsid w:val="00363381"/>
    <w:rsid w:val="003833C1"/>
    <w:rsid w:val="003A52DF"/>
    <w:rsid w:val="003A6466"/>
    <w:rsid w:val="00440C94"/>
    <w:rsid w:val="004E5DFC"/>
    <w:rsid w:val="004F200F"/>
    <w:rsid w:val="005A60D8"/>
    <w:rsid w:val="00641E69"/>
    <w:rsid w:val="00665805"/>
    <w:rsid w:val="006A322E"/>
    <w:rsid w:val="007D62D6"/>
    <w:rsid w:val="00893E2B"/>
    <w:rsid w:val="00B06879"/>
    <w:rsid w:val="00B160C6"/>
    <w:rsid w:val="00BC145A"/>
    <w:rsid w:val="00BC4AE4"/>
    <w:rsid w:val="00CD6DFA"/>
    <w:rsid w:val="00CF69D5"/>
    <w:rsid w:val="00CF7F45"/>
    <w:rsid w:val="00EB4B80"/>
    <w:rsid w:val="00F3026D"/>
    <w:rsid w:val="00F34D9B"/>
    <w:rsid w:val="00F47676"/>
    <w:rsid w:val="00FA1D46"/>
    <w:rsid w:val="00FD627E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27309"/>
  <w15:docId w15:val="{3827E509-72B7-416D-AC69-5620CD22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7E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5">
    <w:name w:val="Medium Grid 1 Accent 5"/>
    <w:basedOn w:val="TableNormal"/>
    <w:uiPriority w:val="67"/>
    <w:rsid w:val="00FD627E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2021-04-20T05:08:00Z</dcterms:created>
  <dcterms:modified xsi:type="dcterms:W3CDTF">2026-06-27T07:08:00Z</dcterms:modified>
</cp:coreProperties>
</file>